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0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附录D</w:t>
      </w:r>
    </w:p>
    <w:p>
      <w:pPr>
        <w:adjustRightInd w:val="0"/>
        <w:snapToGrid w:val="0"/>
        <w:spacing w:line="408" w:lineRule="auto"/>
        <w:jc w:val="left"/>
        <w:outlineLvl w:val="0"/>
        <w:rPr>
          <w:rFonts w:ascii="黑体" w:hAnsi="宋体" w:eastAsia="黑体"/>
          <w:sz w:val="32"/>
        </w:rPr>
      </w:pPr>
    </w:p>
    <w:p>
      <w:pPr>
        <w:adjustRightInd w:val="0"/>
        <w:snapToGrid w:val="0"/>
        <w:jc w:val="center"/>
        <w:rPr>
          <w:rFonts w:hint="eastAsia" w:ascii="方正小标宋_GBK" w:eastAsia="方正小标宋_GBK"/>
          <w:sz w:val="36"/>
          <w:szCs w:val="36"/>
          <w:lang w:val="zh-CN"/>
        </w:rPr>
      </w:pPr>
      <w:r>
        <w:rPr>
          <w:rFonts w:hint="eastAsia" w:ascii="方正小标宋_GBK" w:eastAsia="方正小标宋_GBK"/>
          <w:spacing w:val="6"/>
          <w:sz w:val="36"/>
          <w:szCs w:val="36"/>
          <w:lang w:val="zh-CN"/>
        </w:rPr>
        <w:t>企业突发环境事件风险评估报告编制大</w:t>
      </w:r>
      <w:r>
        <w:rPr>
          <w:rFonts w:hint="eastAsia" w:ascii="方正小标宋_GBK" w:eastAsia="方正小标宋_GBK"/>
          <w:sz w:val="36"/>
          <w:szCs w:val="36"/>
          <w:lang w:val="zh-CN"/>
        </w:rPr>
        <w:t>纲</w:t>
      </w:r>
    </w:p>
    <w:p>
      <w:pPr>
        <w:adjustRightInd w:val="0"/>
        <w:snapToGrid w:val="0"/>
        <w:spacing w:line="408" w:lineRule="auto"/>
        <w:jc w:val="left"/>
        <w:outlineLvl w:val="0"/>
        <w:rPr>
          <w:rFonts w:ascii="黑体" w:hAnsi="宋体" w:eastAsia="黑体"/>
          <w:sz w:val="32"/>
        </w:rPr>
      </w:pP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1 前言</w:t>
      </w: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2 总则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2.1 编制原则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2.2 编制依据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包括：政策法规、技术指南、标准规范、其他文件</w:t>
      </w: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3 资料准备与环境风险识别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3.1 企业基本信息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3.2 企业周边环境风险受体情况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3.3 涉及环境风险物质情况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3.4 生产工艺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3.5 安全生产管理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3.6 现有环境风险防控与应急措施情况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3.7 现有应急物资与装备、救援队伍情况</w:t>
      </w: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4 突发环境事件及其后果分析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4.1 突发环境事件情景分析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4.2 突发环境事件情景源强分析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4.3 释放环境风险物质的扩散途径、涉及环境风险防控与应急措施、应急资源情况分析</w:t>
      </w:r>
    </w:p>
    <w:p>
      <w:pPr>
        <w:autoSpaceDE w:val="0"/>
        <w:autoSpaceDN w:val="0"/>
        <w:adjustRightInd w:val="0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4.4 突发环境事件危害后果分析</w:t>
      </w: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5 现有环境风险防控和应急措施差距分析</w:t>
      </w: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6 完善环境风险防控和应急措施的实施计划</w:t>
      </w: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7 企业突发环境事件风险等级</w:t>
      </w:r>
    </w:p>
    <w:p>
      <w:pPr>
        <w:autoSpaceDE w:val="0"/>
        <w:autoSpaceDN w:val="0"/>
        <w:adjustRightInd w:val="0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8 附图</w:t>
      </w:r>
    </w:p>
    <w:p>
      <w:pPr>
        <w:adjustRightInd w:val="0"/>
        <w:ind w:firstLine="600" w:firstLineChars="200"/>
        <w:rPr>
          <w:rFonts w:ascii="仿宋_GB2312" w:hAnsi="宋体" w:eastAsia="仿宋_GB2312"/>
          <w:color w:val="000000"/>
          <w:sz w:val="30"/>
        </w:rPr>
      </w:pPr>
      <w:r>
        <w:rPr>
          <w:rFonts w:hint="eastAsia" w:ascii="仿宋_GB2312" w:eastAsia="仿宋_GB2312"/>
          <w:sz w:val="30"/>
        </w:rPr>
        <w:t>企业地理位置图、厂区平面布置图、周边环境风险受体分布图，企业雨水、清净下水收集、排放管网图、污水收集、排放管网图以及所有排水最终去向图</w:t>
      </w:r>
    </w:p>
    <w:p>
      <w:bookmarkStart w:id="0" w:name="_GoBack"/>
      <w:bookmarkEnd w:id="0"/>
    </w:p>
    <w:sectPr>
      <w:head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imsun (Founder Extended)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suff w:val="space"/>
      <w:lvlText w:val="%1"/>
      <w:lvlJc w:val="left"/>
      <w:pPr>
        <w:ind w:left="3420" w:firstLine="0"/>
      </w:pPr>
      <w:rPr>
        <w:rFonts w:hint="default" w:ascii="Arial" w:hAnsi="Arial"/>
        <w:b w:val="0"/>
        <w:i w:val="0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Arial" w:hAnsi="Arial"/>
        <w:b w:val="0"/>
        <w:i w:val="0"/>
      </w:rPr>
    </w:lvl>
    <w:lvl w:ilvl="3" w:tentative="0">
      <w:start w:val="1"/>
      <w:numFmt w:val="decimal"/>
      <w:suff w:val="space"/>
      <w:lvlText w:val="%1.%2.%3.%4"/>
      <w:lvlJc w:val="left"/>
      <w:pPr>
        <w:ind w:left="460" w:firstLine="0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454D2"/>
    <w:rsid w:val="1C872631"/>
    <w:rsid w:val="1F2454D2"/>
    <w:rsid w:val="30CB6DF4"/>
    <w:rsid w:val="6FA829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24" w:beforeLines="200" w:beforeAutospacing="0" w:after="624" w:afterLines="200" w:afterAutospacing="0" w:line="400" w:lineRule="atLeast"/>
      <w:ind w:left="3420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312" w:beforeLines="100" w:beforeAutospacing="0" w:after="312" w:afterLines="100" w:afterAutospacing="0" w:line="400" w:lineRule="atLeast"/>
      <w:outlineLvl w:val="1"/>
    </w:pPr>
    <w:rPr>
      <w:rFonts w:ascii="Times New Roman" w:hAnsi="Times New Roman" w:eastAsia="黑体"/>
      <w:kern w:val="2"/>
      <w:sz w:val="30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eastAsia="宋体"/>
      <w:kern w:val="2"/>
      <w:sz w:val="18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customStyle="1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1">
    <w:name w:val="page number"/>
    <w:basedOn w:val="5"/>
    <w:uiPriority w:val="0"/>
  </w:style>
  <w:style w:type="paragraph" w:customStyle="1" w:styleId="12">
    <w:name w:val="List Paragraph"/>
    <w:basedOn w:val="1"/>
    <w:uiPriority w:val="0"/>
    <w:pPr>
      <w:widowControl/>
      <w:ind w:left="720"/>
    </w:pPr>
    <w:rPr>
      <w:rFonts w:ascii="Calibri" w:hAnsi="Calibri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2016-12-13T02:09:00Z</dcterms:created>
  <dc:creator>白钰</dc:creator>
  <cp:lastModifiedBy>白钰</cp:lastModifiedBy>
  <dcterms:modified xsi:type="dcterms:W3CDTF">2016-12-13T02:10:42Z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